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FC187C" w:rsidRDefault="009949A2" w:rsidP="005F453B">
      <w:pPr>
        <w:ind w:left="3402" w:firstLine="851"/>
        <w:rPr>
          <w:b/>
          <w:lang w:val="en-US"/>
        </w:rPr>
      </w:pPr>
    </w:p>
    <w:p w:rsidR="00CD1B1B" w:rsidRPr="00CD1B1B" w:rsidRDefault="00CD1B1B" w:rsidP="005F453B">
      <w:pPr>
        <w:ind w:left="3402" w:firstLine="851"/>
        <w:rPr>
          <w:b/>
          <w:lang w:val="kk-KZ"/>
        </w:rPr>
      </w:pPr>
    </w:p>
    <w:p w:rsidR="00BF055B" w:rsidRDefault="00BF055B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Pr="003A7C7C" w:rsidRDefault="003A7C7C" w:rsidP="005F453B">
      <w:pPr>
        <w:ind w:left="3402" w:firstLine="851"/>
        <w:rPr>
          <w:b/>
          <w:lang w:val="kk-KZ"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C35438" w:rsidRPr="00B20C61" w:rsidRDefault="00D54D3C" w:rsidP="00C35438">
      <w:pPr>
        <w:ind w:firstLine="709"/>
        <w:jc w:val="both"/>
        <w:rPr>
          <w:rFonts w:eastAsia="Times New Roman"/>
        </w:rPr>
      </w:pPr>
      <w:r w:rsidRPr="00D54D3C">
        <w:rPr>
          <w:rFonts w:eastAsia="Times New Roman"/>
          <w:lang w:eastAsia="ru-RU"/>
        </w:rPr>
        <w:t>Товарищество с ограниченной ответственностью «КТЖ-Грузовые перевозки» в качестве Управления делами Тарифной политики на 2025 год,            в соответствии с протоколом заседания Комиссии по установлению специальных тарифных условий на перевозки грузов по железной д</w:t>
      </w:r>
      <w:r w:rsidR="00024B77">
        <w:rPr>
          <w:rFonts w:eastAsia="Times New Roman"/>
          <w:lang w:eastAsia="ru-RU"/>
        </w:rPr>
        <w:t>ороге Республики Казахстан от 28</w:t>
      </w:r>
      <w:r w:rsidRPr="00D54D3C">
        <w:rPr>
          <w:rFonts w:eastAsia="Times New Roman"/>
          <w:lang w:eastAsia="ru-RU"/>
        </w:rPr>
        <w:t xml:space="preserve"> </w:t>
      </w:r>
      <w:r w:rsidR="00024B77">
        <w:rPr>
          <w:rFonts w:eastAsia="Times New Roman"/>
          <w:lang w:eastAsia="ru-RU"/>
        </w:rPr>
        <w:t>мая 2025 года № 6</w:t>
      </w:r>
      <w:r w:rsidRPr="00D54D3C">
        <w:rPr>
          <w:rFonts w:eastAsia="Times New Roman"/>
          <w:lang w:eastAsia="ru-RU"/>
        </w:rPr>
        <w:t xml:space="preserve"> и на основании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2025 фрахтовый год (далее – Тарифная политика), инфор</w:t>
      </w:r>
      <w:r w:rsidR="00E90575">
        <w:rPr>
          <w:rFonts w:eastAsia="Times New Roman"/>
          <w:lang w:eastAsia="ru-RU"/>
        </w:rPr>
        <w:t xml:space="preserve">мирует о внесении </w:t>
      </w:r>
      <w:r w:rsidR="00493EC3">
        <w:rPr>
          <w:rFonts w:eastAsia="Times New Roman"/>
          <w:b/>
          <w:lang w:eastAsia="ru-RU"/>
        </w:rPr>
        <w:t>Изменения № 6</w:t>
      </w:r>
      <w:r w:rsidR="00493EC3" w:rsidRPr="00493EC3">
        <w:rPr>
          <w:rFonts w:eastAsia="Times New Roman"/>
          <w:b/>
          <w:lang w:eastAsia="ru-RU"/>
        </w:rPr>
        <w:t>2</w:t>
      </w:r>
      <w:r w:rsidRPr="00D54D3C">
        <w:rPr>
          <w:rFonts w:eastAsia="Times New Roman"/>
          <w:lang w:eastAsia="ru-RU"/>
        </w:rPr>
        <w:t xml:space="preserve"> к официальному тексту Тарифной политики по </w:t>
      </w:r>
      <w:r w:rsidRPr="00F461CD">
        <w:rPr>
          <w:rFonts w:eastAsia="Times New Roman"/>
          <w:b/>
          <w:lang w:eastAsia="ru-RU"/>
        </w:rPr>
        <w:t>КЗХ</w:t>
      </w:r>
      <w:r w:rsidRPr="00D54D3C">
        <w:rPr>
          <w:rFonts w:eastAsia="Times New Roman"/>
          <w:lang w:eastAsia="ru-RU"/>
        </w:rPr>
        <w:t>.</w:t>
      </w:r>
    </w:p>
    <w:p w:rsidR="00380E2A" w:rsidRPr="00CD1B1B" w:rsidRDefault="00034DFA" w:rsidP="00C35438">
      <w:pPr>
        <w:ind w:firstLine="709"/>
        <w:jc w:val="both"/>
        <w:rPr>
          <w:rFonts w:eastAsia="Times New Roman"/>
          <w:lang w:val="kk-KZ"/>
        </w:rPr>
      </w:pPr>
      <w:r>
        <w:rPr>
          <w:rFonts w:eastAsia="Times New Roman"/>
          <w:lang w:val="kk-KZ"/>
        </w:rPr>
        <w:t>1. В</w:t>
      </w:r>
      <w:r w:rsidR="00380E2A" w:rsidRPr="00380E2A">
        <w:rPr>
          <w:rFonts w:eastAsia="Times New Roman"/>
          <w:lang w:val="kk-KZ"/>
        </w:rPr>
        <w:t xml:space="preserve">нести изменения в </w:t>
      </w:r>
      <w:r w:rsidR="00380E2A">
        <w:rPr>
          <w:rFonts w:eastAsia="Times New Roman"/>
          <w:lang w:val="kk-KZ"/>
        </w:rPr>
        <w:t>пункт</w:t>
      </w:r>
      <w:r w:rsidR="00380E2A" w:rsidRPr="00380E2A">
        <w:rPr>
          <w:rFonts w:eastAsia="Times New Roman"/>
          <w:lang w:val="kk-KZ"/>
        </w:rPr>
        <w:t xml:space="preserve"> 1</w:t>
      </w:r>
      <w:r w:rsidR="00380E2A">
        <w:rPr>
          <w:rFonts w:eastAsia="Times New Roman"/>
          <w:lang w:val="kk-KZ"/>
        </w:rPr>
        <w:t>3</w:t>
      </w:r>
      <w:r w:rsidR="00380E2A" w:rsidRPr="00380E2A">
        <w:rPr>
          <w:rFonts w:eastAsia="Times New Roman"/>
          <w:lang w:val="kk-KZ"/>
        </w:rPr>
        <w:t>.</w:t>
      </w:r>
      <w:r w:rsidR="00380E2A">
        <w:rPr>
          <w:rFonts w:eastAsia="Times New Roman"/>
          <w:lang w:val="kk-KZ"/>
        </w:rPr>
        <w:t>14</w:t>
      </w:r>
      <w:r>
        <w:rPr>
          <w:rFonts w:eastAsia="Times New Roman"/>
          <w:lang w:val="kk-KZ"/>
        </w:rPr>
        <w:t>.1</w:t>
      </w:r>
      <w:r w:rsidR="00380E2A">
        <w:rPr>
          <w:rFonts w:eastAsia="Times New Roman"/>
          <w:lang w:val="kk-KZ"/>
        </w:rPr>
        <w:t xml:space="preserve"> пункта 13 </w:t>
      </w:r>
      <w:r w:rsidR="00380E2A" w:rsidRPr="00380E2A">
        <w:rPr>
          <w:rFonts w:eastAsia="Times New Roman"/>
          <w:lang w:val="kk-KZ"/>
        </w:rPr>
        <w:t xml:space="preserve">раздела 2 приложения </w:t>
      </w:r>
      <w:r>
        <w:rPr>
          <w:rFonts w:eastAsia="Times New Roman"/>
          <w:lang w:val="kk-KZ"/>
        </w:rPr>
        <w:t>3 Тарифной политики, объявленный</w:t>
      </w:r>
      <w:r w:rsidR="00380E2A" w:rsidRPr="00380E2A">
        <w:rPr>
          <w:rFonts w:eastAsia="Times New Roman"/>
          <w:lang w:val="kk-KZ"/>
        </w:rPr>
        <w:t xml:space="preserve"> письмом Управления д</w:t>
      </w:r>
      <w:r w:rsidR="00380E2A">
        <w:rPr>
          <w:rFonts w:eastAsia="Times New Roman"/>
          <w:lang w:val="kk-KZ"/>
        </w:rPr>
        <w:t>елами Тарифной политики от 30.12.2024 №ГП/9555-И (Изменение №</w:t>
      </w:r>
      <w:r w:rsidR="00493EC3" w:rsidRPr="00493EC3">
        <w:rPr>
          <w:rFonts w:eastAsia="Times New Roman"/>
        </w:rPr>
        <w:t xml:space="preserve"> </w:t>
      </w:r>
      <w:r w:rsidR="00380E2A">
        <w:rPr>
          <w:rFonts w:eastAsia="Times New Roman"/>
          <w:lang w:val="kk-KZ"/>
        </w:rPr>
        <w:t>4</w:t>
      </w:r>
      <w:r w:rsidR="00380E2A" w:rsidRPr="00380E2A">
        <w:rPr>
          <w:rFonts w:eastAsia="Times New Roman"/>
          <w:lang w:val="kk-KZ"/>
        </w:rPr>
        <w:t xml:space="preserve">) и изложить в </w:t>
      </w:r>
      <w:r>
        <w:rPr>
          <w:rFonts w:eastAsia="Times New Roman"/>
          <w:lang w:val="kk-KZ"/>
        </w:rPr>
        <w:t>следующей</w:t>
      </w:r>
      <w:r w:rsidR="00380E2A" w:rsidRPr="00380E2A">
        <w:rPr>
          <w:rFonts w:eastAsia="Times New Roman"/>
          <w:lang w:val="kk-KZ"/>
        </w:rPr>
        <w:t xml:space="preserve"> редакции:</w:t>
      </w:r>
    </w:p>
    <w:p w:rsidR="00CE6D70" w:rsidRDefault="00C35438" w:rsidP="00CE6D70">
      <w:pPr>
        <w:ind w:firstLine="708"/>
        <w:jc w:val="both"/>
        <w:rPr>
          <w:rFonts w:eastAsia="Times New Roman"/>
        </w:rPr>
      </w:pPr>
      <w:proofErr w:type="gramStart"/>
      <w:r>
        <w:rPr>
          <w:rFonts w:eastAsia="Times New Roman"/>
        </w:rPr>
        <w:t>«</w:t>
      </w:r>
      <w:r w:rsidR="00CE6D70" w:rsidRPr="000224AB">
        <w:rPr>
          <w:rFonts w:eastAsia="Times New Roman"/>
        </w:rPr>
        <w:t>13.14.1.</w:t>
      </w:r>
      <w:r w:rsidR="00CE6D70">
        <w:rPr>
          <w:rFonts w:eastAsia="Times New Roman"/>
        </w:rPr>
        <w:t xml:space="preserve"> </w:t>
      </w:r>
      <w:r w:rsidR="00CE6D70" w:rsidRPr="00CE6D70">
        <w:rPr>
          <w:rFonts w:eastAsia="Times New Roman"/>
        </w:rPr>
        <w:t>на транзитные перевозки грузов главы 31 ГНГ «Удобрения» (позиции ГНГ 3102-3105) из Республики Узбекистан по всем транзитным направлениям Республики Казахстан (кроме транзитного участка Оазис (</w:t>
      </w:r>
      <w:proofErr w:type="spellStart"/>
      <w:r w:rsidR="00CE6D70" w:rsidRPr="00CE6D70">
        <w:rPr>
          <w:rFonts w:eastAsia="Times New Roman"/>
        </w:rPr>
        <w:t>эксп</w:t>
      </w:r>
      <w:proofErr w:type="spellEnd"/>
      <w:r w:rsidR="00EB2A55" w:rsidRPr="00EB2A55">
        <w:rPr>
          <w:rFonts w:eastAsia="Times New Roman"/>
        </w:rPr>
        <w:t>.</w:t>
      </w:r>
      <w:r w:rsidR="00CE6D70" w:rsidRPr="00CE6D70">
        <w:rPr>
          <w:rFonts w:eastAsia="Times New Roman"/>
        </w:rPr>
        <w:t>)</w:t>
      </w:r>
      <w:proofErr w:type="gramEnd"/>
      <w:r w:rsidR="00CE6D70" w:rsidRPr="00CE6D70">
        <w:rPr>
          <w:rFonts w:eastAsia="Times New Roman"/>
        </w:rPr>
        <w:t xml:space="preserve"> – </w:t>
      </w:r>
      <w:proofErr w:type="spellStart"/>
      <w:r w:rsidR="00CE6D70" w:rsidRPr="00CE6D70">
        <w:rPr>
          <w:rFonts w:eastAsia="Times New Roman"/>
        </w:rPr>
        <w:t>Курык</w:t>
      </w:r>
      <w:proofErr w:type="spellEnd"/>
      <w:r w:rsidR="00CE6D70" w:rsidRPr="00CE6D70">
        <w:rPr>
          <w:rFonts w:eastAsia="Times New Roman"/>
        </w:rPr>
        <w:t xml:space="preserve"> - Порт (</w:t>
      </w:r>
      <w:proofErr w:type="spellStart"/>
      <w:r w:rsidR="00CE6D70" w:rsidRPr="00CE6D70">
        <w:rPr>
          <w:rFonts w:eastAsia="Times New Roman"/>
        </w:rPr>
        <w:t>эксп</w:t>
      </w:r>
      <w:proofErr w:type="spellEnd"/>
      <w:r w:rsidR="00CE6D70" w:rsidRPr="00CE6D70">
        <w:rPr>
          <w:rFonts w:eastAsia="Times New Roman"/>
        </w:rPr>
        <w:t>.)/</w:t>
      </w:r>
      <w:proofErr w:type="spellStart"/>
      <w:r w:rsidR="00CE6D70" w:rsidRPr="00CE6D70">
        <w:rPr>
          <w:rFonts w:eastAsia="Times New Roman"/>
        </w:rPr>
        <w:t>Курык</w:t>
      </w:r>
      <w:proofErr w:type="spellEnd"/>
      <w:r w:rsidR="00CE6D70" w:rsidRPr="00CE6D70">
        <w:rPr>
          <w:rFonts w:eastAsia="Times New Roman"/>
        </w:rPr>
        <w:t xml:space="preserve"> – Порт (</w:t>
      </w:r>
      <w:proofErr w:type="spellStart"/>
      <w:r w:rsidR="00CE6D70" w:rsidRPr="00CE6D70">
        <w:rPr>
          <w:rFonts w:eastAsia="Times New Roman"/>
        </w:rPr>
        <w:t>эксп</w:t>
      </w:r>
      <w:proofErr w:type="spellEnd"/>
      <w:r w:rsidR="00CE6D70" w:rsidRPr="00CE6D70">
        <w:rPr>
          <w:rFonts w:eastAsia="Times New Roman"/>
        </w:rPr>
        <w:t>. паром)/</w:t>
      </w:r>
      <w:proofErr w:type="spellStart"/>
      <w:r w:rsidR="00CE6D70" w:rsidRPr="00CE6D70">
        <w:rPr>
          <w:rFonts w:eastAsia="Times New Roman"/>
        </w:rPr>
        <w:t>Курык</w:t>
      </w:r>
      <w:proofErr w:type="spellEnd"/>
      <w:r w:rsidR="00CE6D70" w:rsidRPr="00CE6D70">
        <w:rPr>
          <w:rFonts w:eastAsia="Times New Roman"/>
        </w:rPr>
        <w:t xml:space="preserve"> – Порт (</w:t>
      </w:r>
      <w:proofErr w:type="spellStart"/>
      <w:r w:rsidR="00CE6D70" w:rsidRPr="00CE6D70">
        <w:rPr>
          <w:rFonts w:eastAsia="Times New Roman"/>
        </w:rPr>
        <w:t>эксп</w:t>
      </w:r>
      <w:proofErr w:type="spellEnd"/>
      <w:r w:rsidR="00CE6D70" w:rsidRPr="00CE6D70">
        <w:rPr>
          <w:rFonts w:eastAsia="Times New Roman"/>
        </w:rPr>
        <w:t>. перевалка), в приватном универсальном вагоне (не принадлежащем перевозчику), приписанному к станциям железных дорог Республики Казахстан и Республики Узбекистан:</w:t>
      </w:r>
    </w:p>
    <w:p w:rsidR="00CE6D70" w:rsidRPr="00CE6D70" w:rsidRDefault="00CE6D70" w:rsidP="00CE6D70">
      <w:pPr>
        <w:ind w:firstLine="708"/>
        <w:jc w:val="both"/>
        <w:rPr>
          <w:rFonts w:eastAsia="Times New Roman"/>
        </w:rPr>
      </w:pPr>
      <w:r w:rsidRPr="000224AB">
        <w:rPr>
          <w:rFonts w:eastAsia="Times New Roman"/>
        </w:rPr>
        <w:t>13.14.1.1</w:t>
      </w:r>
      <w:r w:rsidRPr="00034DFA">
        <w:rPr>
          <w:rFonts w:eastAsia="Times New Roman"/>
          <w:b/>
        </w:rPr>
        <w:t>.</w:t>
      </w:r>
      <w:r>
        <w:rPr>
          <w:rFonts w:eastAsia="Times New Roman"/>
        </w:rPr>
        <w:t xml:space="preserve"> </w:t>
      </w:r>
      <w:r w:rsidRPr="00CE6D70">
        <w:rPr>
          <w:rFonts w:eastAsia="Times New Roman"/>
        </w:rPr>
        <w:t>понижающий коэффициент 0,70 к ставкам настоящей Тарифной политики при объеме перевозок до 80 000 тонн (включительно);</w:t>
      </w:r>
    </w:p>
    <w:p w:rsidR="00CE6D70" w:rsidRPr="00CE6D70" w:rsidRDefault="00CE6D70" w:rsidP="00CE6D70">
      <w:pPr>
        <w:ind w:firstLine="708"/>
        <w:jc w:val="both"/>
        <w:rPr>
          <w:rFonts w:eastAsia="Times New Roman"/>
        </w:rPr>
      </w:pPr>
      <w:r w:rsidRPr="000224AB">
        <w:rPr>
          <w:rFonts w:eastAsia="Times New Roman"/>
        </w:rPr>
        <w:t>13.14.1</w:t>
      </w:r>
      <w:r w:rsidR="00735EDE" w:rsidRPr="000224AB">
        <w:rPr>
          <w:rFonts w:eastAsia="Times New Roman"/>
        </w:rPr>
        <w:t>.2</w:t>
      </w:r>
      <w:r w:rsidRPr="000224AB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Pr="00CE6D70">
        <w:rPr>
          <w:rFonts w:eastAsia="Times New Roman"/>
        </w:rPr>
        <w:t>понижающий коэффициент 0,50 к ставкам настоящей Тарифной политики при объеме перевозок от 80 001 тонны и более.</w:t>
      </w:r>
    </w:p>
    <w:p w:rsidR="00CE6D70" w:rsidRDefault="00CE6D70" w:rsidP="00CE6D70">
      <w:pPr>
        <w:ind w:firstLine="708"/>
        <w:jc w:val="both"/>
        <w:rPr>
          <w:rFonts w:eastAsia="Times New Roman"/>
        </w:rPr>
      </w:pPr>
      <w:r w:rsidRPr="00CE6D70">
        <w:rPr>
          <w:rFonts w:eastAsia="Times New Roman"/>
        </w:rPr>
        <w:lastRenderedPageBreak/>
        <w:t>Коэффициенты, указанные в пункте 13.14.1. (кроме пункта 1</w:t>
      </w:r>
      <w:r w:rsidR="00043C3D">
        <w:rPr>
          <w:rFonts w:eastAsia="Times New Roman"/>
        </w:rPr>
        <w:t>3</w:t>
      </w:r>
      <w:r w:rsidRPr="00CE6D70">
        <w:rPr>
          <w:rFonts w:eastAsia="Times New Roman"/>
        </w:rPr>
        <w:t>.1</w:t>
      </w:r>
      <w:r w:rsidR="00034DFA">
        <w:rPr>
          <w:rFonts w:eastAsia="Times New Roman"/>
        </w:rPr>
        <w:t>4.</w:t>
      </w:r>
      <w:r w:rsidR="00034DFA">
        <w:rPr>
          <w:rFonts w:eastAsia="Times New Roman"/>
          <w:lang w:val="kk-KZ"/>
        </w:rPr>
        <w:t>1</w:t>
      </w:r>
      <w:r w:rsidRPr="00CE6D70">
        <w:rPr>
          <w:rFonts w:eastAsia="Times New Roman"/>
        </w:rPr>
        <w:t>.</w:t>
      </w:r>
      <w:r w:rsidR="00034DFA">
        <w:rPr>
          <w:rFonts w:eastAsia="Times New Roman"/>
          <w:lang w:val="kk-KZ"/>
        </w:rPr>
        <w:t>3.</w:t>
      </w:r>
      <w:r w:rsidRPr="00CE6D70">
        <w:rPr>
          <w:rFonts w:eastAsia="Times New Roman"/>
        </w:rPr>
        <w:t>), применяются на перевезенный объем, попадающий по тоннажу в определенную градацию, исходя из последовательного отправления в течение года. При достижении объемов перевозок в последующей градации коэффициент за объемы перевозок в предыдущей градации не пересчитывается. Учет объемов перевозок за один фрахтовый год ведется по дате оттиска календарного штемпеля в накладной, проставляемого на станции отправления;</w:t>
      </w:r>
    </w:p>
    <w:p w:rsidR="00CE6D70" w:rsidRPr="00CE6D70" w:rsidRDefault="00CE6D70" w:rsidP="00CE6D70">
      <w:pPr>
        <w:ind w:firstLine="708"/>
        <w:jc w:val="both"/>
        <w:rPr>
          <w:rFonts w:eastAsia="Times New Roman"/>
        </w:rPr>
      </w:pPr>
      <w:r w:rsidRPr="000224AB">
        <w:rPr>
          <w:rFonts w:eastAsia="Times New Roman"/>
        </w:rPr>
        <w:t>1</w:t>
      </w:r>
      <w:r w:rsidR="00043C3D" w:rsidRPr="000224AB">
        <w:rPr>
          <w:rFonts w:eastAsia="Times New Roman"/>
        </w:rPr>
        <w:t>3</w:t>
      </w:r>
      <w:r w:rsidRPr="000224AB">
        <w:rPr>
          <w:rFonts w:eastAsia="Times New Roman"/>
        </w:rPr>
        <w:t>.1</w:t>
      </w:r>
      <w:r w:rsidR="00034DFA" w:rsidRPr="000224AB">
        <w:rPr>
          <w:rFonts w:eastAsia="Times New Roman"/>
        </w:rPr>
        <w:t>4.</w:t>
      </w:r>
      <w:r w:rsidR="00034DFA" w:rsidRPr="000224AB">
        <w:rPr>
          <w:rFonts w:eastAsia="Times New Roman"/>
          <w:lang w:val="kk-KZ"/>
        </w:rPr>
        <w:t>1.3</w:t>
      </w:r>
      <w:r w:rsidRPr="000224AB">
        <w:rPr>
          <w:rFonts w:eastAsia="Times New Roman"/>
        </w:rPr>
        <w:t>.</w:t>
      </w:r>
      <w:r w:rsidRPr="00CE6D70">
        <w:rPr>
          <w:rFonts w:eastAsia="Times New Roman"/>
        </w:rPr>
        <w:t xml:space="preserve"> понижающий коэффициент 0,40 к ставкам настоящей Тарифной политики на перевозки грузов главы 31 ГНГ «Удобрения» (позиции ГНГ 3102-3105) из Республики Узбекистан по транзитному участку Оазис (</w:t>
      </w:r>
      <w:proofErr w:type="spellStart"/>
      <w:r w:rsidRPr="00CE6D70">
        <w:rPr>
          <w:rFonts w:eastAsia="Times New Roman"/>
        </w:rPr>
        <w:t>эксп</w:t>
      </w:r>
      <w:proofErr w:type="spellEnd"/>
      <w:r w:rsidRPr="00CE6D70">
        <w:rPr>
          <w:rFonts w:eastAsia="Times New Roman"/>
        </w:rPr>
        <w:t xml:space="preserve">) – </w:t>
      </w:r>
      <w:proofErr w:type="spellStart"/>
      <w:r w:rsidRPr="00CE6D70">
        <w:rPr>
          <w:rFonts w:eastAsia="Times New Roman"/>
        </w:rPr>
        <w:t>Курык</w:t>
      </w:r>
      <w:proofErr w:type="spellEnd"/>
      <w:r w:rsidRPr="00CE6D70">
        <w:rPr>
          <w:rFonts w:eastAsia="Times New Roman"/>
        </w:rPr>
        <w:t xml:space="preserve"> - Порт (</w:t>
      </w:r>
      <w:proofErr w:type="spellStart"/>
      <w:r w:rsidRPr="00CE6D70">
        <w:rPr>
          <w:rFonts w:eastAsia="Times New Roman"/>
        </w:rPr>
        <w:t>эксп</w:t>
      </w:r>
      <w:proofErr w:type="spellEnd"/>
      <w:r w:rsidRPr="00CE6D70">
        <w:rPr>
          <w:rFonts w:eastAsia="Times New Roman"/>
        </w:rPr>
        <w:t>.)/</w:t>
      </w:r>
      <w:proofErr w:type="spellStart"/>
      <w:r w:rsidRPr="00CE6D70">
        <w:rPr>
          <w:rFonts w:eastAsia="Times New Roman"/>
        </w:rPr>
        <w:t>Курык</w:t>
      </w:r>
      <w:proofErr w:type="spellEnd"/>
      <w:r w:rsidRPr="00CE6D70">
        <w:rPr>
          <w:rFonts w:eastAsia="Times New Roman"/>
        </w:rPr>
        <w:t xml:space="preserve"> – Порт (</w:t>
      </w:r>
      <w:proofErr w:type="spellStart"/>
      <w:r w:rsidRPr="00CE6D70">
        <w:rPr>
          <w:rFonts w:eastAsia="Times New Roman"/>
        </w:rPr>
        <w:t>эксп</w:t>
      </w:r>
      <w:proofErr w:type="spellEnd"/>
      <w:r w:rsidRPr="00CE6D70">
        <w:rPr>
          <w:rFonts w:eastAsia="Times New Roman"/>
        </w:rPr>
        <w:t>. паром)/</w:t>
      </w:r>
      <w:proofErr w:type="spellStart"/>
      <w:r w:rsidRPr="00CE6D70">
        <w:rPr>
          <w:rFonts w:eastAsia="Times New Roman"/>
        </w:rPr>
        <w:t>Курык</w:t>
      </w:r>
      <w:proofErr w:type="spellEnd"/>
      <w:r w:rsidRPr="00CE6D70">
        <w:rPr>
          <w:rFonts w:eastAsia="Times New Roman"/>
        </w:rPr>
        <w:t xml:space="preserve"> – Порт (</w:t>
      </w:r>
      <w:proofErr w:type="spellStart"/>
      <w:r w:rsidRPr="00CE6D70">
        <w:rPr>
          <w:rFonts w:eastAsia="Times New Roman"/>
        </w:rPr>
        <w:t>эксп</w:t>
      </w:r>
      <w:proofErr w:type="spellEnd"/>
      <w:r w:rsidRPr="00CE6D70">
        <w:rPr>
          <w:rFonts w:eastAsia="Times New Roman"/>
        </w:rPr>
        <w:t xml:space="preserve">. перевалка) в приватном вагоне (не принадлежащем перевозчику), приписанному к станциям железных дорог Республики Казахстан и Республики Узбекистан.  </w:t>
      </w:r>
    </w:p>
    <w:p w:rsidR="00D54D3C" w:rsidRDefault="00CE6D70" w:rsidP="00043C3D">
      <w:pPr>
        <w:ind w:firstLine="708"/>
        <w:jc w:val="both"/>
        <w:rPr>
          <w:rFonts w:eastAsia="Times New Roman"/>
        </w:rPr>
      </w:pPr>
      <w:r w:rsidRPr="00CE6D70">
        <w:rPr>
          <w:rFonts w:eastAsia="Times New Roman"/>
        </w:rPr>
        <w:t>К понижающим коэффициентам, указанным в пункте 1</w:t>
      </w:r>
      <w:r w:rsidR="00043C3D">
        <w:rPr>
          <w:rFonts w:eastAsia="Times New Roman"/>
        </w:rPr>
        <w:t>3</w:t>
      </w:r>
      <w:r w:rsidRPr="00CE6D70">
        <w:rPr>
          <w:rFonts w:eastAsia="Times New Roman"/>
        </w:rPr>
        <w:t>.1</w:t>
      </w:r>
      <w:r w:rsidR="00043C3D">
        <w:rPr>
          <w:rFonts w:eastAsia="Times New Roman"/>
        </w:rPr>
        <w:t>4.1.</w:t>
      </w:r>
      <w:r w:rsidRPr="00CE6D70">
        <w:rPr>
          <w:rFonts w:eastAsia="Times New Roman"/>
        </w:rPr>
        <w:t>, не применяются дополнительные тарифные условия, предусмотренные</w:t>
      </w:r>
      <w:r w:rsidR="00735505">
        <w:rPr>
          <w:rFonts w:eastAsia="Times New Roman"/>
        </w:rPr>
        <w:t xml:space="preserve"> </w:t>
      </w:r>
      <w:r w:rsidR="00034DFA">
        <w:rPr>
          <w:rFonts w:eastAsia="Times New Roman"/>
          <w:lang w:val="kk-KZ"/>
        </w:rPr>
        <w:t>настоящей Тарифной политикой</w:t>
      </w:r>
      <w:r w:rsidR="00700C6D">
        <w:rPr>
          <w:rFonts w:eastAsia="Times New Roman"/>
          <w:lang w:val="kk-KZ"/>
        </w:rPr>
        <w:t>».</w:t>
      </w:r>
    </w:p>
    <w:p w:rsidR="00043C3D" w:rsidRDefault="00043C3D" w:rsidP="00043C3D">
      <w:pPr>
        <w:ind w:firstLine="708"/>
        <w:jc w:val="both"/>
        <w:rPr>
          <w:rFonts w:eastAsia="Times New Roman"/>
          <w:lang w:val="kk-KZ"/>
        </w:rPr>
      </w:pPr>
      <w:r>
        <w:rPr>
          <w:rFonts w:eastAsia="Times New Roman"/>
        </w:rPr>
        <w:t xml:space="preserve">2. </w:t>
      </w:r>
      <w:r w:rsidR="00031DA6">
        <w:rPr>
          <w:rFonts w:eastAsia="Times New Roman"/>
          <w:lang w:val="kk-KZ"/>
        </w:rPr>
        <w:t>На основании письма</w:t>
      </w:r>
      <w:r w:rsidR="0003176A" w:rsidRPr="0003176A">
        <w:rPr>
          <w:rFonts w:eastAsia="Times New Roman"/>
        </w:rPr>
        <w:t xml:space="preserve"> </w:t>
      </w:r>
      <w:r w:rsidR="0003176A">
        <w:rPr>
          <w:rFonts w:eastAsia="Times New Roman"/>
          <w:lang w:val="kk-KZ"/>
        </w:rPr>
        <w:t xml:space="preserve">от 23 апреля 2025 года № </w:t>
      </w:r>
      <w:r w:rsidR="0003176A">
        <w:rPr>
          <w:rFonts w:eastAsia="Times New Roman"/>
          <w:lang w:val="en-US"/>
        </w:rPr>
        <w:t>III</w:t>
      </w:r>
      <w:r w:rsidR="0003176A" w:rsidRPr="00031DA6">
        <w:rPr>
          <w:rFonts w:eastAsia="Times New Roman"/>
        </w:rPr>
        <w:t>-032.</w:t>
      </w:r>
      <w:r w:rsidR="0003176A">
        <w:rPr>
          <w:rFonts w:eastAsia="Times New Roman"/>
          <w:lang w:val="en-US"/>
        </w:rPr>
        <w:t>ZA</w:t>
      </w:r>
      <w:r w:rsidR="0003176A" w:rsidRPr="00031DA6">
        <w:rPr>
          <w:rFonts w:eastAsia="Times New Roman"/>
        </w:rPr>
        <w:t>/25</w:t>
      </w:r>
      <w:r w:rsidR="00031DA6">
        <w:rPr>
          <w:rFonts w:eastAsia="Times New Roman"/>
          <w:lang w:val="kk-KZ"/>
        </w:rPr>
        <w:t xml:space="preserve"> Комитета ОСЖД</w:t>
      </w:r>
      <w:r w:rsidR="0003176A" w:rsidRPr="0003176A">
        <w:rPr>
          <w:rFonts w:eastAsia="Times New Roman"/>
        </w:rPr>
        <w:t xml:space="preserve"> </w:t>
      </w:r>
      <w:r w:rsidR="0003176A">
        <w:rPr>
          <w:rFonts w:eastAsia="Times New Roman"/>
          <w:lang w:val="kk-KZ"/>
        </w:rPr>
        <w:t>о внесении с 1 июня 2025 года изменений и дополнений в текст Гармонизированной номенклатуры грузов (ГНГ)</w:t>
      </w:r>
      <w:r w:rsidR="00DC223F">
        <w:rPr>
          <w:rFonts w:eastAsia="Times New Roman"/>
          <w:lang w:val="kk-KZ"/>
        </w:rPr>
        <w:t>:</w:t>
      </w:r>
    </w:p>
    <w:p w:rsidR="00034DFA" w:rsidRPr="00EB2A55" w:rsidRDefault="00034DFA" w:rsidP="00043C3D">
      <w:pPr>
        <w:ind w:firstLine="708"/>
        <w:jc w:val="both"/>
        <w:rPr>
          <w:rFonts w:eastAsia="Times New Roman"/>
        </w:rPr>
      </w:pPr>
      <w:r>
        <w:rPr>
          <w:rFonts w:eastAsia="Times New Roman"/>
          <w:lang w:val="kk-KZ"/>
        </w:rPr>
        <w:t xml:space="preserve">2.1. На период </w:t>
      </w:r>
      <w:r w:rsidR="00586367">
        <w:rPr>
          <w:rFonts w:eastAsia="Times New Roman"/>
          <w:lang w:val="kk-KZ"/>
        </w:rPr>
        <w:t>с 1 июня по 31 декабря 2025 года (включительно)</w:t>
      </w:r>
      <w:r w:rsidR="00DC223F">
        <w:rPr>
          <w:rFonts w:eastAsia="Times New Roman"/>
          <w:lang w:val="kk-KZ"/>
        </w:rPr>
        <w:t xml:space="preserve"> внести</w:t>
      </w:r>
      <w:r w:rsidR="00DC223F" w:rsidRPr="00380E2A">
        <w:rPr>
          <w:rFonts w:eastAsia="Times New Roman"/>
          <w:lang w:val="kk-KZ"/>
        </w:rPr>
        <w:t xml:space="preserve"> изменения в </w:t>
      </w:r>
      <w:r w:rsidR="00DC223F">
        <w:rPr>
          <w:rFonts w:eastAsia="Times New Roman"/>
          <w:lang w:val="kk-KZ"/>
        </w:rPr>
        <w:t>пункт</w:t>
      </w:r>
      <w:r w:rsidR="00DC223F" w:rsidRPr="00380E2A">
        <w:rPr>
          <w:rFonts w:eastAsia="Times New Roman"/>
          <w:lang w:val="kk-KZ"/>
        </w:rPr>
        <w:t xml:space="preserve"> 1</w:t>
      </w:r>
      <w:r w:rsidR="00DC223F">
        <w:rPr>
          <w:rFonts w:eastAsia="Times New Roman"/>
          <w:lang w:val="kk-KZ"/>
        </w:rPr>
        <w:t>3</w:t>
      </w:r>
      <w:r w:rsidR="00DC223F" w:rsidRPr="00380E2A">
        <w:rPr>
          <w:rFonts w:eastAsia="Times New Roman"/>
          <w:lang w:val="kk-KZ"/>
        </w:rPr>
        <w:t>.</w:t>
      </w:r>
      <w:r w:rsidR="00DC223F">
        <w:rPr>
          <w:rFonts w:eastAsia="Times New Roman"/>
          <w:lang w:val="kk-KZ"/>
        </w:rPr>
        <w:t xml:space="preserve">14.18 пункта 13 </w:t>
      </w:r>
      <w:r w:rsidR="00DC223F" w:rsidRPr="00380E2A">
        <w:rPr>
          <w:rFonts w:eastAsia="Times New Roman"/>
          <w:lang w:val="kk-KZ"/>
        </w:rPr>
        <w:t xml:space="preserve">раздела 2 приложения 3 Тарифной </w:t>
      </w:r>
      <w:r w:rsidR="00DC223F">
        <w:rPr>
          <w:rFonts w:eastAsia="Times New Roman"/>
          <w:lang w:val="kk-KZ"/>
        </w:rPr>
        <w:t>политики, объявленный</w:t>
      </w:r>
      <w:r w:rsidR="00DC223F" w:rsidRPr="00380E2A">
        <w:rPr>
          <w:rFonts w:eastAsia="Times New Roman"/>
          <w:lang w:val="kk-KZ"/>
        </w:rPr>
        <w:t xml:space="preserve"> письмом Управления д</w:t>
      </w:r>
      <w:r w:rsidR="00DC223F">
        <w:rPr>
          <w:rFonts w:eastAsia="Times New Roman"/>
          <w:lang w:val="kk-KZ"/>
        </w:rPr>
        <w:t>елами Тарифной политики от 30.12.2024 №ГП/9555-И (Изменение №</w:t>
      </w:r>
      <w:r w:rsidR="00493EC3" w:rsidRPr="00493EC3">
        <w:rPr>
          <w:rFonts w:eastAsia="Times New Roman"/>
        </w:rPr>
        <w:t xml:space="preserve"> </w:t>
      </w:r>
      <w:r w:rsidR="00DC223F">
        <w:rPr>
          <w:rFonts w:eastAsia="Times New Roman"/>
          <w:lang w:val="kk-KZ"/>
        </w:rPr>
        <w:t>4</w:t>
      </w:r>
      <w:r w:rsidR="00DC223F" w:rsidRPr="00380E2A">
        <w:rPr>
          <w:rFonts w:eastAsia="Times New Roman"/>
          <w:lang w:val="kk-KZ"/>
        </w:rPr>
        <w:t>):</w:t>
      </w:r>
    </w:p>
    <w:p w:rsidR="00043C3D" w:rsidRDefault="00735505" w:rsidP="00043C3D">
      <w:pPr>
        <w:ind w:firstLine="708"/>
        <w:jc w:val="both"/>
        <w:rPr>
          <w:rFonts w:eastAsia="Times New Roman"/>
          <w:lang w:val="kk-KZ"/>
        </w:rPr>
      </w:pPr>
      <w:r w:rsidRPr="00735505">
        <w:rPr>
          <w:rFonts w:eastAsia="Times New Roman"/>
          <w:lang w:val="kk-KZ"/>
        </w:rPr>
        <w:t>- слова «Газойль, прочий» (позиция ГНГ 2742) с позицией топливо дизельное синтетическое (ЕТСНГ 214113)» заменить словами «Газойли, полученные из нефти или битуминозных пород, с содержанием серы не более 0,001 мас.%, с содержанием биоуглерода 80 мас.% или более (за исключением с содержанием биодизеля, а также для химических преобразований) (позиция ГНГ 27101942) с позицией топливо дизельное синтетическое (дизель Фишера-Тропша) (ЕТСНГ 214113)»;</w:t>
      </w:r>
    </w:p>
    <w:p w:rsidR="00735505" w:rsidRPr="00735505" w:rsidRDefault="00735505" w:rsidP="00735505">
      <w:pPr>
        <w:ind w:firstLine="708"/>
        <w:jc w:val="both"/>
        <w:rPr>
          <w:rFonts w:eastAsia="Times New Roman"/>
          <w:lang w:val="kk-KZ"/>
        </w:rPr>
      </w:pPr>
      <w:r w:rsidRPr="00735505">
        <w:rPr>
          <w:rFonts w:eastAsia="Times New Roman"/>
          <w:lang w:val="kk-KZ"/>
        </w:rPr>
        <w:t>- слова «Керосин (отличный от авиационного топлива)» (позиция ГНГ 2732) с позицией компонент синтетического авиационного топлива (ЕТСНГ 212090)» заменить словами «Топливо для реактивных двигателей среднее (позиция ГНГ 27101921) с позицией компонент синтетического авиационного топлива (керосин Фишера-Тропша) (ЕТСНГ 212090)»;</w:t>
      </w:r>
    </w:p>
    <w:p w:rsidR="00735505" w:rsidRDefault="00735505" w:rsidP="00735505">
      <w:pPr>
        <w:ind w:firstLine="708"/>
        <w:jc w:val="both"/>
        <w:rPr>
          <w:rFonts w:eastAsia="Times New Roman"/>
          <w:lang w:val="kk-KZ"/>
        </w:rPr>
      </w:pPr>
      <w:r w:rsidRPr="00735505">
        <w:rPr>
          <w:rFonts w:eastAsia="Times New Roman"/>
          <w:lang w:val="kk-KZ"/>
        </w:rPr>
        <w:t>- слова «Бензин специальный, прочий» (позиция ГНГ 2722) с позицией нафта синтетическая (ЕТСНГ 215239)» заменить словами «Парафин синтетический с содержанием масел менее 0.75 мас.%, с молекулярной массой 460 и более, но не более 1560 (позиция ГНГ 27122010) с позицией нафта синтетическая (нафта Фишера-Тропша) из смеси углеводородов синтетических с содержанием парафиновых углеводородов не менее 95% (ЕТСНГ 215239)».</w:t>
      </w:r>
    </w:p>
    <w:p w:rsidR="00735505" w:rsidRDefault="00586367" w:rsidP="00735505">
      <w:pPr>
        <w:ind w:firstLine="708"/>
        <w:jc w:val="both"/>
        <w:rPr>
          <w:rFonts w:eastAsia="Times New Roman"/>
          <w:lang w:val="kk-KZ"/>
        </w:rPr>
      </w:pPr>
      <w:r>
        <w:rPr>
          <w:rFonts w:eastAsia="Times New Roman"/>
          <w:lang w:val="kk-KZ"/>
        </w:rPr>
        <w:t>2</w:t>
      </w:r>
      <w:r w:rsidR="00735505">
        <w:rPr>
          <w:rFonts w:eastAsia="Times New Roman"/>
          <w:lang w:val="kk-KZ"/>
        </w:rPr>
        <w:t>.</w:t>
      </w:r>
      <w:r>
        <w:rPr>
          <w:rFonts w:eastAsia="Times New Roman"/>
          <w:lang w:val="kk-KZ"/>
        </w:rPr>
        <w:t>2.</w:t>
      </w:r>
      <w:r w:rsidR="00735505">
        <w:rPr>
          <w:rFonts w:eastAsia="Times New Roman"/>
          <w:lang w:val="kk-KZ"/>
        </w:rPr>
        <w:t xml:space="preserve"> </w:t>
      </w:r>
      <w:r w:rsidR="00735EDE" w:rsidRPr="00735EDE">
        <w:rPr>
          <w:rFonts w:eastAsia="Times New Roman"/>
          <w:lang w:val="kk-KZ"/>
        </w:rPr>
        <w:t>На период с 1 июня по 31 декабря 2025 года (вклю</w:t>
      </w:r>
      <w:r>
        <w:rPr>
          <w:rFonts w:eastAsia="Times New Roman"/>
          <w:lang w:val="kk-KZ"/>
        </w:rPr>
        <w:t xml:space="preserve">чительно) внести изменения в </w:t>
      </w:r>
      <w:r w:rsidR="00735EDE" w:rsidRPr="00735EDE">
        <w:rPr>
          <w:rFonts w:eastAsia="Times New Roman"/>
          <w:lang w:val="kk-KZ"/>
        </w:rPr>
        <w:t>пункт 13.15.2.1</w:t>
      </w:r>
      <w:r w:rsidR="00735EDE">
        <w:rPr>
          <w:rFonts w:eastAsia="Times New Roman"/>
          <w:lang w:val="kk-KZ"/>
        </w:rPr>
        <w:t xml:space="preserve"> </w:t>
      </w:r>
      <w:r w:rsidR="00735EDE" w:rsidRPr="00735EDE">
        <w:rPr>
          <w:rFonts w:eastAsia="Times New Roman"/>
          <w:lang w:val="kk-KZ"/>
        </w:rPr>
        <w:t xml:space="preserve">пункта 13 раздела 2 приложения </w:t>
      </w:r>
      <w:r>
        <w:rPr>
          <w:rFonts w:eastAsia="Times New Roman"/>
          <w:lang w:val="kk-KZ"/>
        </w:rPr>
        <w:t>3 Тарифной политики, объявленный</w:t>
      </w:r>
      <w:r w:rsidR="00735EDE" w:rsidRPr="00735EDE">
        <w:rPr>
          <w:rFonts w:eastAsia="Times New Roman"/>
          <w:lang w:val="kk-KZ"/>
        </w:rPr>
        <w:t xml:space="preserve"> письмом Управления делами Тарифной политики от 30.12.2024 №ГП/9555-И (Изменение №</w:t>
      </w:r>
      <w:r w:rsidR="00DE7574" w:rsidRPr="00DE7574">
        <w:rPr>
          <w:rFonts w:eastAsia="Times New Roman"/>
        </w:rPr>
        <w:t xml:space="preserve"> </w:t>
      </w:r>
      <w:r w:rsidR="00735EDE" w:rsidRPr="00735EDE">
        <w:rPr>
          <w:rFonts w:eastAsia="Times New Roman"/>
          <w:lang w:val="kk-KZ"/>
        </w:rPr>
        <w:t>4):</w:t>
      </w:r>
    </w:p>
    <w:p w:rsidR="00735EDE" w:rsidRDefault="00DE7574" w:rsidP="00735505">
      <w:pPr>
        <w:ind w:firstLine="708"/>
        <w:jc w:val="both"/>
        <w:rPr>
          <w:rFonts w:eastAsia="Times New Roman"/>
          <w:lang w:val="kk-KZ"/>
        </w:rPr>
      </w:pPr>
      <w:r>
        <w:rPr>
          <w:rFonts w:eastAsia="Times New Roman"/>
          <w:lang w:val="kk-KZ"/>
        </w:rPr>
        <w:lastRenderedPageBreak/>
        <w:t xml:space="preserve">- слова </w:t>
      </w:r>
      <w:r w:rsidR="00735EDE" w:rsidRPr="00735EDE">
        <w:rPr>
          <w:rFonts w:eastAsia="Times New Roman"/>
          <w:lang w:val="kk-KZ"/>
        </w:rPr>
        <w:t xml:space="preserve">«Бензин специальный, прочий» (позиции ГНГ 2722), «Бензин моторный с содержанием свинца максимум 0.013 г/л» (позиции ГНГ 2724), «Бензин моторный с содержанием свинца более 0.013 г/л» (позиции ГНГ 2725), «Масло среднетяжелое, топливо авиационное турбинное» (позиции ГНГ 2731), «Топливо дизельное» (позиции ГНГ 2741), «Газойль, прочий» (позиции ГНГ 2742), «Мазут легкий, суперлегкий» (позиции ГНГ 2743), «Мазут тяжелый» </w:t>
      </w:r>
      <w:r w:rsidR="006A4F1F">
        <w:rPr>
          <w:rFonts w:eastAsia="Times New Roman"/>
          <w:lang w:val="kk-KZ"/>
        </w:rPr>
        <w:t>(позиции ГНГ 2744)</w:t>
      </w:r>
      <w:r w:rsidR="00735EDE" w:rsidRPr="00735EDE">
        <w:rPr>
          <w:rFonts w:eastAsia="Times New Roman"/>
          <w:lang w:val="kk-KZ"/>
        </w:rPr>
        <w:t>» заменить словами «Нефть и нефтепродукты, полученные из битуминозных пород, кроме нефти-сырца; продукты, содержащие 70 мас.% или более нефти или нефтепродуктов, полученных из битуминозных пород, причем эти нефтепродукты являются основными составляющими продуктов, н.у.к.; отработанные нефтепродукты, содержащие преимущественно нефть и нефтепродукты, полученные из битумин</w:t>
      </w:r>
      <w:r w:rsidR="00735EDE">
        <w:rPr>
          <w:rFonts w:eastAsia="Times New Roman"/>
          <w:lang w:val="kk-KZ"/>
        </w:rPr>
        <w:t>озных пород» (позиции ГНГ 2710</w:t>
      </w:r>
      <w:r w:rsidR="008B1BC7">
        <w:rPr>
          <w:rFonts w:eastAsia="Times New Roman"/>
          <w:lang w:val="kk-KZ"/>
        </w:rPr>
        <w:t>)</w:t>
      </w:r>
      <w:r w:rsidR="00735EDE" w:rsidRPr="00735EDE">
        <w:rPr>
          <w:rFonts w:eastAsia="Times New Roman"/>
          <w:lang w:val="kk-KZ"/>
        </w:rPr>
        <w:t>».</w:t>
      </w:r>
    </w:p>
    <w:p w:rsidR="00735EDE" w:rsidRPr="00735EDE" w:rsidRDefault="00586367" w:rsidP="00735EDE">
      <w:pPr>
        <w:ind w:firstLine="708"/>
        <w:jc w:val="both"/>
        <w:rPr>
          <w:rFonts w:eastAsia="Times New Roman"/>
          <w:lang w:val="kk-KZ"/>
        </w:rPr>
      </w:pPr>
      <w:r>
        <w:rPr>
          <w:rFonts w:eastAsia="Times New Roman"/>
          <w:lang w:val="kk-KZ"/>
        </w:rPr>
        <w:t>3</w:t>
      </w:r>
      <w:r w:rsidR="00735EDE">
        <w:rPr>
          <w:rFonts w:eastAsia="Times New Roman"/>
          <w:lang w:val="kk-KZ"/>
        </w:rPr>
        <w:t xml:space="preserve">. </w:t>
      </w:r>
      <w:r w:rsidR="00735EDE" w:rsidRPr="00735EDE">
        <w:rPr>
          <w:rFonts w:eastAsia="Times New Roman"/>
          <w:lang w:val="kk-KZ"/>
        </w:rPr>
        <w:t xml:space="preserve">Пункт 13 раздела 2 приложения 3 Тарифной политики </w:t>
      </w:r>
      <w:r w:rsidR="000772E9">
        <w:rPr>
          <w:rFonts w:eastAsia="Times New Roman"/>
          <w:lang w:val="kk-KZ"/>
        </w:rPr>
        <w:t>дополнить новым подпунктом 13.22</w:t>
      </w:r>
      <w:r w:rsidR="00735EDE" w:rsidRPr="00735EDE">
        <w:rPr>
          <w:rFonts w:eastAsia="Times New Roman"/>
          <w:lang w:val="kk-KZ"/>
        </w:rPr>
        <w:t>. в следующей редакции:</w:t>
      </w:r>
    </w:p>
    <w:p w:rsidR="0012360A" w:rsidRPr="00C35438" w:rsidRDefault="00700C6D" w:rsidP="00700C6D">
      <w:pPr>
        <w:ind w:firstLine="708"/>
        <w:jc w:val="both"/>
        <w:rPr>
          <w:rFonts w:eastAsia="Times New Roman"/>
          <w:lang w:val="kk-KZ"/>
        </w:rPr>
      </w:pPr>
      <w:r w:rsidRPr="000224AB">
        <w:rPr>
          <w:rFonts w:eastAsia="Times New Roman"/>
          <w:lang w:val="kk-KZ"/>
        </w:rPr>
        <w:t>«</w:t>
      </w:r>
      <w:r w:rsidR="000772E9" w:rsidRPr="000224AB">
        <w:rPr>
          <w:rFonts w:eastAsia="Times New Roman"/>
          <w:lang w:val="kk-KZ"/>
        </w:rPr>
        <w:t>13.22</w:t>
      </w:r>
      <w:r w:rsidR="00735EDE" w:rsidRPr="00586367">
        <w:rPr>
          <w:rFonts w:eastAsia="Times New Roman"/>
          <w:b/>
          <w:lang w:val="kk-KZ"/>
        </w:rPr>
        <w:t>.</w:t>
      </w:r>
      <w:r w:rsidR="00735EDE" w:rsidRPr="00735EDE">
        <w:rPr>
          <w:rFonts w:eastAsia="Times New Roman"/>
          <w:lang w:val="kk-KZ"/>
        </w:rPr>
        <w:t xml:space="preserve"> На период с 1 </w:t>
      </w:r>
      <w:r w:rsidR="00735EDE">
        <w:rPr>
          <w:rFonts w:eastAsia="Times New Roman"/>
          <w:lang w:val="kk-KZ"/>
        </w:rPr>
        <w:t>мая</w:t>
      </w:r>
      <w:r w:rsidR="00735EDE" w:rsidRPr="00735EDE">
        <w:rPr>
          <w:rFonts w:eastAsia="Times New Roman"/>
          <w:lang w:val="kk-KZ"/>
        </w:rPr>
        <w:t xml:space="preserve"> по 31 декабря 2025 года (включительно) установлен</w:t>
      </w:r>
      <w:r w:rsidR="00735EDE">
        <w:rPr>
          <w:rFonts w:eastAsia="Times New Roman"/>
          <w:lang w:val="kk-KZ"/>
        </w:rPr>
        <w:t xml:space="preserve"> </w:t>
      </w:r>
      <w:r w:rsidR="00735EDE" w:rsidRPr="00735EDE">
        <w:rPr>
          <w:rFonts w:eastAsia="Times New Roman"/>
          <w:lang w:val="kk-KZ"/>
        </w:rPr>
        <w:t xml:space="preserve">понижающий коэффициент 0,40 к ставкам </w:t>
      </w:r>
      <w:r w:rsidR="00586367">
        <w:rPr>
          <w:rFonts w:eastAsia="Times New Roman"/>
          <w:lang w:val="kk-KZ"/>
        </w:rPr>
        <w:t>настоящей Тарифной политики</w:t>
      </w:r>
      <w:r w:rsidR="00735EDE" w:rsidRPr="00735EDE">
        <w:rPr>
          <w:rFonts w:eastAsia="Times New Roman"/>
          <w:lang w:val="kk-KZ"/>
        </w:rPr>
        <w:t xml:space="preserve"> на транзитную перевозку всех грузов (кроме опасного груза, негабаритного груза, нефтепродуктов) в приватном почтово-багажном вагоне из Китая в Российскую Федерацию (станция Селятино) по маршрутам через МГСП Достык (эксп.)/Достык (эксп.перев.)/ Достык (эксп.перев.авто)/ Алтынколь (экс</w:t>
      </w:r>
      <w:r w:rsidR="00735EDE">
        <w:rPr>
          <w:rFonts w:eastAsia="Times New Roman"/>
          <w:lang w:val="kk-KZ"/>
        </w:rPr>
        <w:t>п.)/ Алтынколь (эксп.перев.авто</w:t>
      </w:r>
      <w:r w:rsidR="00735EDE" w:rsidRPr="00735EDE">
        <w:rPr>
          <w:rFonts w:eastAsia="Times New Roman"/>
          <w:lang w:val="kk-KZ"/>
        </w:rPr>
        <w:t>)</w:t>
      </w:r>
      <w:r w:rsidR="00C35438">
        <w:rPr>
          <w:rFonts w:eastAsia="Times New Roman"/>
          <w:lang w:val="kk-KZ"/>
        </w:rPr>
        <w:t>».</w:t>
      </w:r>
    </w:p>
    <w:p w:rsidR="007D78C1" w:rsidRPr="00700C6D" w:rsidRDefault="007D78C1" w:rsidP="00A532F9">
      <w:pPr>
        <w:jc w:val="both"/>
        <w:rPr>
          <w:rFonts w:eastAsia="Times New Roman"/>
          <w:lang w:val="kk-KZ"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Default="008A1C22" w:rsidP="00A532F9">
      <w:pPr>
        <w:jc w:val="both"/>
        <w:rPr>
          <w:rFonts w:eastAsia="Times New Roman"/>
          <w:lang w:eastAsia="ru-RU"/>
        </w:rPr>
      </w:pPr>
    </w:p>
    <w:p w:rsidR="008A5C04" w:rsidRPr="00830E03" w:rsidRDefault="008A5C04" w:rsidP="00A532F9">
      <w:pPr>
        <w:jc w:val="both"/>
        <w:rPr>
          <w:rFonts w:eastAsia="Times New Roman"/>
          <w:lang w:eastAsia="ru-RU"/>
        </w:rPr>
      </w:pPr>
    </w:p>
    <w:p w:rsidR="00493D58" w:rsidRPr="00493D58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Генеральный директор</w:t>
      </w:r>
    </w:p>
    <w:p w:rsidR="00721499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(Председатель Правления)                                                                       В. Петров</w:t>
      </w:r>
    </w:p>
    <w:p w:rsidR="002C1904" w:rsidRDefault="008F24C3" w:rsidP="008A1C22">
      <w:pPr>
        <w:jc w:val="both"/>
        <w:rPr>
          <w:rFonts w:eastAsia="Calibri"/>
          <w:b/>
          <w:bCs/>
        </w:rPr>
      </w:pPr>
      <w:r w:rsidRPr="008F24C3">
        <w:rPr>
          <w:rFonts w:eastAsia="Calibri"/>
          <w:b/>
          <w:bCs/>
        </w:rPr>
        <w:t xml:space="preserve">  </w:t>
      </w: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  <w:lang w:val="kk-KZ"/>
        </w:rPr>
      </w:pPr>
      <w:bookmarkStart w:id="0" w:name="_GoBack"/>
      <w:bookmarkEnd w:id="0"/>
    </w:p>
    <w:p w:rsidR="003A7C7C" w:rsidRPr="00CD1B1B" w:rsidRDefault="003A7C7C" w:rsidP="008A1C22">
      <w:pPr>
        <w:jc w:val="both"/>
        <w:rPr>
          <w:rFonts w:eastAsia="Calibri"/>
          <w:b/>
          <w:bCs/>
          <w:lang w:val="kk-KZ"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10012F" w:rsidRPr="003A7C7C" w:rsidRDefault="008F24C3" w:rsidP="008A1C22">
      <w:pPr>
        <w:jc w:val="both"/>
        <w:rPr>
          <w:rFonts w:eastAsia="Calibri"/>
          <w:b/>
          <w:bCs/>
          <w:lang w:val="kk-KZ"/>
        </w:rPr>
      </w:pPr>
      <w:r w:rsidRPr="008F24C3">
        <w:rPr>
          <w:rFonts w:eastAsia="Calibri"/>
          <w:b/>
          <w:bCs/>
        </w:rPr>
        <w:t xml:space="preserve">                         </w:t>
      </w:r>
      <w:r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   </w:t>
      </w:r>
      <w:r w:rsidR="003A7C7C">
        <w:rPr>
          <w:rFonts w:eastAsia="Calibri"/>
          <w:b/>
          <w:bCs/>
        </w:rPr>
        <w:tab/>
        <w:t xml:space="preserve">    </w:t>
      </w: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Исп.</w:t>
      </w:r>
      <w:r w:rsidR="00CD1B1B">
        <w:rPr>
          <w:rFonts w:eastAsia="Calibri"/>
          <w:bCs/>
          <w:sz w:val="18"/>
          <w:szCs w:val="18"/>
          <w:lang w:val="kk-KZ"/>
        </w:rPr>
        <w:t>:</w:t>
      </w:r>
      <w:r w:rsidRPr="008F24C3">
        <w:rPr>
          <w:rFonts w:eastAsia="Calibri"/>
          <w:bCs/>
          <w:sz w:val="18"/>
          <w:szCs w:val="18"/>
        </w:rPr>
        <w:t xml:space="preserve"> </w:t>
      </w:r>
      <w:r w:rsidR="00AD35B1">
        <w:rPr>
          <w:rFonts w:eastAsia="Calibri"/>
          <w:bCs/>
          <w:sz w:val="18"/>
          <w:szCs w:val="18"/>
          <w:lang w:val="kk-KZ"/>
        </w:rPr>
        <w:t>Әбдіразақов</w:t>
      </w:r>
      <w:r w:rsidR="00AD35B1">
        <w:rPr>
          <w:rFonts w:eastAsia="Calibri"/>
          <w:bCs/>
          <w:sz w:val="18"/>
          <w:szCs w:val="18"/>
        </w:rPr>
        <w:t xml:space="preserve"> </w:t>
      </w:r>
      <w:r w:rsidR="00AD35B1">
        <w:rPr>
          <w:rFonts w:eastAsia="Calibri"/>
          <w:bCs/>
          <w:sz w:val="18"/>
          <w:szCs w:val="18"/>
          <w:lang w:val="kk-KZ"/>
        </w:rPr>
        <w:t>Б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AD35B1" w:rsidRDefault="00B1394D" w:rsidP="00A532F9">
      <w:pPr>
        <w:jc w:val="both"/>
        <w:rPr>
          <w:rFonts w:ascii="Calibri" w:eastAsia="Calibri" w:hAnsi="Calibri"/>
          <w:sz w:val="18"/>
          <w:szCs w:val="18"/>
          <w:lang w:val="kk-KZ"/>
        </w:rPr>
      </w:pPr>
      <w:r w:rsidRPr="008F24C3">
        <w:rPr>
          <w:rFonts w:eastAsia="Calibri"/>
          <w:bCs/>
          <w:sz w:val="18"/>
          <w:szCs w:val="18"/>
        </w:rPr>
        <w:t>т</w:t>
      </w:r>
      <w:r w:rsidR="00CD1B1B">
        <w:rPr>
          <w:rFonts w:eastAsia="Calibri"/>
          <w:bCs/>
          <w:sz w:val="18"/>
          <w:szCs w:val="18"/>
          <w:lang w:val="kk-KZ"/>
        </w:rPr>
        <w:t>ел</w:t>
      </w:r>
      <w:r w:rsidRPr="008F24C3">
        <w:rPr>
          <w:rFonts w:eastAsia="Calibri"/>
          <w:bCs/>
          <w:sz w:val="18"/>
          <w:szCs w:val="18"/>
        </w:rPr>
        <w:t>.</w:t>
      </w:r>
      <w:r w:rsidR="00CD1B1B">
        <w:rPr>
          <w:rFonts w:eastAsia="Calibri"/>
          <w:bCs/>
          <w:sz w:val="18"/>
          <w:szCs w:val="18"/>
          <w:lang w:val="kk-KZ"/>
        </w:rPr>
        <w:t>:</w:t>
      </w:r>
      <w:r w:rsidRPr="008F24C3">
        <w:rPr>
          <w:rFonts w:eastAsia="Calibri"/>
          <w:bCs/>
          <w:sz w:val="18"/>
          <w:szCs w:val="18"/>
        </w:rPr>
        <w:t xml:space="preserve"> 8 (7172) 60-37-1</w:t>
      </w:r>
      <w:r w:rsidR="00AD35B1">
        <w:rPr>
          <w:rFonts w:eastAsia="Calibri"/>
          <w:bCs/>
          <w:sz w:val="18"/>
          <w:szCs w:val="18"/>
          <w:lang w:val="kk-KZ"/>
        </w:rPr>
        <w:t>3</w:t>
      </w:r>
    </w:p>
    <w:sectPr w:rsidR="00A532F9" w:rsidRPr="00AD35B1" w:rsidSect="006A718D">
      <w:headerReference w:type="default" r:id="rId8"/>
      <w:pgSz w:w="11906" w:h="16838" w:code="9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0A" w:rsidRDefault="00237D0A" w:rsidP="00DF2071">
      <w:r>
        <w:separator/>
      </w:r>
    </w:p>
  </w:endnote>
  <w:endnote w:type="continuationSeparator" w:id="0">
    <w:p w:rsidR="00237D0A" w:rsidRDefault="00237D0A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0A" w:rsidRDefault="00237D0A" w:rsidP="00DF2071">
      <w:r>
        <w:separator/>
      </w:r>
    </w:p>
  </w:footnote>
  <w:footnote w:type="continuationSeparator" w:id="0">
    <w:p w:rsidR="00237D0A" w:rsidRDefault="00237D0A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4555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A7C7C" w:rsidRPr="003A7C7C" w:rsidRDefault="003A7C7C">
        <w:pPr>
          <w:pStyle w:val="a8"/>
          <w:jc w:val="center"/>
          <w:rPr>
            <w:sz w:val="24"/>
            <w:szCs w:val="24"/>
          </w:rPr>
        </w:pPr>
        <w:r w:rsidRPr="003A7C7C">
          <w:rPr>
            <w:sz w:val="24"/>
            <w:szCs w:val="24"/>
          </w:rPr>
          <w:fldChar w:fldCharType="begin"/>
        </w:r>
        <w:r w:rsidRPr="003A7C7C">
          <w:rPr>
            <w:sz w:val="24"/>
            <w:szCs w:val="24"/>
          </w:rPr>
          <w:instrText>PAGE   \* MERGEFORMAT</w:instrText>
        </w:r>
        <w:r w:rsidRPr="003A7C7C">
          <w:rPr>
            <w:sz w:val="24"/>
            <w:szCs w:val="24"/>
          </w:rPr>
          <w:fldChar w:fldCharType="separate"/>
        </w:r>
        <w:r w:rsidR="00E64874">
          <w:rPr>
            <w:noProof/>
            <w:sz w:val="24"/>
            <w:szCs w:val="24"/>
          </w:rPr>
          <w:t>3</w:t>
        </w:r>
        <w:r w:rsidRPr="003A7C7C">
          <w:rPr>
            <w:sz w:val="24"/>
            <w:szCs w:val="24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21AF"/>
    <w:rsid w:val="0001493F"/>
    <w:rsid w:val="0001498D"/>
    <w:rsid w:val="00014C06"/>
    <w:rsid w:val="00015053"/>
    <w:rsid w:val="00020E30"/>
    <w:rsid w:val="00020EB8"/>
    <w:rsid w:val="00021BE5"/>
    <w:rsid w:val="000224AB"/>
    <w:rsid w:val="0002319C"/>
    <w:rsid w:val="00024B77"/>
    <w:rsid w:val="0003015E"/>
    <w:rsid w:val="0003176A"/>
    <w:rsid w:val="00031DA6"/>
    <w:rsid w:val="0003311D"/>
    <w:rsid w:val="00034DFA"/>
    <w:rsid w:val="00035260"/>
    <w:rsid w:val="000354DF"/>
    <w:rsid w:val="00036684"/>
    <w:rsid w:val="00042D5E"/>
    <w:rsid w:val="00043C3D"/>
    <w:rsid w:val="00046291"/>
    <w:rsid w:val="000465F8"/>
    <w:rsid w:val="00046DC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5D30"/>
    <w:rsid w:val="000673D8"/>
    <w:rsid w:val="000674DA"/>
    <w:rsid w:val="0007287B"/>
    <w:rsid w:val="0007334B"/>
    <w:rsid w:val="000772E9"/>
    <w:rsid w:val="0008063E"/>
    <w:rsid w:val="0008137A"/>
    <w:rsid w:val="00084D59"/>
    <w:rsid w:val="00092628"/>
    <w:rsid w:val="00092CE6"/>
    <w:rsid w:val="0009586B"/>
    <w:rsid w:val="00095E4D"/>
    <w:rsid w:val="00096ECD"/>
    <w:rsid w:val="0009792D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6A6C"/>
    <w:rsid w:val="001276A4"/>
    <w:rsid w:val="00127D7F"/>
    <w:rsid w:val="00130BD8"/>
    <w:rsid w:val="00135726"/>
    <w:rsid w:val="00136BAE"/>
    <w:rsid w:val="001376AD"/>
    <w:rsid w:val="00142066"/>
    <w:rsid w:val="00142F89"/>
    <w:rsid w:val="00143006"/>
    <w:rsid w:val="0014368A"/>
    <w:rsid w:val="00145846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1274"/>
    <w:rsid w:val="00191BCA"/>
    <w:rsid w:val="001948D8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2442"/>
    <w:rsid w:val="00233CBB"/>
    <w:rsid w:val="002340DB"/>
    <w:rsid w:val="00237D0A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3FEE"/>
    <w:rsid w:val="00294D20"/>
    <w:rsid w:val="00297DB5"/>
    <w:rsid w:val="002A211F"/>
    <w:rsid w:val="002A221E"/>
    <w:rsid w:val="002A3702"/>
    <w:rsid w:val="002A4274"/>
    <w:rsid w:val="002A5514"/>
    <w:rsid w:val="002B0588"/>
    <w:rsid w:val="002B2B18"/>
    <w:rsid w:val="002B4EFE"/>
    <w:rsid w:val="002B603E"/>
    <w:rsid w:val="002B78DA"/>
    <w:rsid w:val="002C121E"/>
    <w:rsid w:val="002C138C"/>
    <w:rsid w:val="002C1904"/>
    <w:rsid w:val="002C1A6E"/>
    <w:rsid w:val="002C1CFD"/>
    <w:rsid w:val="002C2DD2"/>
    <w:rsid w:val="002C2EE1"/>
    <w:rsid w:val="002C42FE"/>
    <w:rsid w:val="002C5B26"/>
    <w:rsid w:val="002C5F5A"/>
    <w:rsid w:val="002C67B0"/>
    <w:rsid w:val="002C6972"/>
    <w:rsid w:val="002C6D62"/>
    <w:rsid w:val="002C71FB"/>
    <w:rsid w:val="002C7D22"/>
    <w:rsid w:val="002D01D4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3735"/>
    <w:rsid w:val="00354688"/>
    <w:rsid w:val="003554BE"/>
    <w:rsid w:val="00355954"/>
    <w:rsid w:val="00355C30"/>
    <w:rsid w:val="00355C8C"/>
    <w:rsid w:val="00356A34"/>
    <w:rsid w:val="00357B46"/>
    <w:rsid w:val="0036600C"/>
    <w:rsid w:val="00366F11"/>
    <w:rsid w:val="00370D16"/>
    <w:rsid w:val="00370F16"/>
    <w:rsid w:val="003713CA"/>
    <w:rsid w:val="00373FDA"/>
    <w:rsid w:val="00374657"/>
    <w:rsid w:val="00377757"/>
    <w:rsid w:val="003806EB"/>
    <w:rsid w:val="00380E2A"/>
    <w:rsid w:val="00383105"/>
    <w:rsid w:val="00393989"/>
    <w:rsid w:val="0039458A"/>
    <w:rsid w:val="00396405"/>
    <w:rsid w:val="003977D3"/>
    <w:rsid w:val="003A1C91"/>
    <w:rsid w:val="003A4554"/>
    <w:rsid w:val="003A4CD6"/>
    <w:rsid w:val="003A65B8"/>
    <w:rsid w:val="003A6E36"/>
    <w:rsid w:val="003A717E"/>
    <w:rsid w:val="003A76C0"/>
    <w:rsid w:val="003A7C7C"/>
    <w:rsid w:val="003B20DA"/>
    <w:rsid w:val="003B2AA6"/>
    <w:rsid w:val="003B4F6C"/>
    <w:rsid w:val="003B53DB"/>
    <w:rsid w:val="003B5B18"/>
    <w:rsid w:val="003B7201"/>
    <w:rsid w:val="003C0892"/>
    <w:rsid w:val="003C2E73"/>
    <w:rsid w:val="003D41F3"/>
    <w:rsid w:val="003D56E4"/>
    <w:rsid w:val="003D68B1"/>
    <w:rsid w:val="003D7686"/>
    <w:rsid w:val="003E1C7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379BD"/>
    <w:rsid w:val="00440896"/>
    <w:rsid w:val="00441EC2"/>
    <w:rsid w:val="00443856"/>
    <w:rsid w:val="004504AD"/>
    <w:rsid w:val="00451131"/>
    <w:rsid w:val="00452811"/>
    <w:rsid w:val="00453C1C"/>
    <w:rsid w:val="0045428E"/>
    <w:rsid w:val="00455A73"/>
    <w:rsid w:val="00457F14"/>
    <w:rsid w:val="00465B4A"/>
    <w:rsid w:val="00472CE4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3D58"/>
    <w:rsid w:val="00493EC3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1B7C"/>
    <w:rsid w:val="004B2751"/>
    <w:rsid w:val="004C075C"/>
    <w:rsid w:val="004C4683"/>
    <w:rsid w:val="004C569D"/>
    <w:rsid w:val="004C68B8"/>
    <w:rsid w:val="004C6D4E"/>
    <w:rsid w:val="004D186B"/>
    <w:rsid w:val="004D2FDE"/>
    <w:rsid w:val="004D3928"/>
    <w:rsid w:val="004E1C75"/>
    <w:rsid w:val="004E2CF7"/>
    <w:rsid w:val="004E33A5"/>
    <w:rsid w:val="004E5A55"/>
    <w:rsid w:val="004E6DE5"/>
    <w:rsid w:val="004F24F4"/>
    <w:rsid w:val="004F5287"/>
    <w:rsid w:val="004F530F"/>
    <w:rsid w:val="004F6D61"/>
    <w:rsid w:val="00502C8B"/>
    <w:rsid w:val="005030BF"/>
    <w:rsid w:val="00503FAA"/>
    <w:rsid w:val="00513199"/>
    <w:rsid w:val="00513CAA"/>
    <w:rsid w:val="0051534A"/>
    <w:rsid w:val="00515F4F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168F"/>
    <w:rsid w:val="00574755"/>
    <w:rsid w:val="00576840"/>
    <w:rsid w:val="0057690D"/>
    <w:rsid w:val="00580680"/>
    <w:rsid w:val="00586367"/>
    <w:rsid w:val="00586F3B"/>
    <w:rsid w:val="00591B6B"/>
    <w:rsid w:val="00591F3C"/>
    <w:rsid w:val="00592473"/>
    <w:rsid w:val="00592B30"/>
    <w:rsid w:val="00593E73"/>
    <w:rsid w:val="005966A3"/>
    <w:rsid w:val="005A5C75"/>
    <w:rsid w:val="005A6275"/>
    <w:rsid w:val="005B7CA8"/>
    <w:rsid w:val="005B7F5F"/>
    <w:rsid w:val="005C0A63"/>
    <w:rsid w:val="005C1F98"/>
    <w:rsid w:val="005C36C4"/>
    <w:rsid w:val="005C59A5"/>
    <w:rsid w:val="005D50EB"/>
    <w:rsid w:val="005E1DA0"/>
    <w:rsid w:val="005E37E3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55D1"/>
    <w:rsid w:val="00617E9F"/>
    <w:rsid w:val="0062075C"/>
    <w:rsid w:val="00622CEB"/>
    <w:rsid w:val="00624453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29A9"/>
    <w:rsid w:val="006634D0"/>
    <w:rsid w:val="00663D2B"/>
    <w:rsid w:val="006816D8"/>
    <w:rsid w:val="00683D73"/>
    <w:rsid w:val="00686E22"/>
    <w:rsid w:val="00691445"/>
    <w:rsid w:val="006918ED"/>
    <w:rsid w:val="00694076"/>
    <w:rsid w:val="006940B8"/>
    <w:rsid w:val="006945DE"/>
    <w:rsid w:val="006A2F21"/>
    <w:rsid w:val="006A4497"/>
    <w:rsid w:val="006A4F1F"/>
    <w:rsid w:val="006A612D"/>
    <w:rsid w:val="006A718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6DD8"/>
    <w:rsid w:val="006F3125"/>
    <w:rsid w:val="006F35D3"/>
    <w:rsid w:val="006F5820"/>
    <w:rsid w:val="00700C6D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35505"/>
    <w:rsid w:val="00735EDE"/>
    <w:rsid w:val="00736577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57B"/>
    <w:rsid w:val="00763AC0"/>
    <w:rsid w:val="00764A11"/>
    <w:rsid w:val="00775140"/>
    <w:rsid w:val="00775F7A"/>
    <w:rsid w:val="00776081"/>
    <w:rsid w:val="0078002D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6B9D"/>
    <w:rsid w:val="007A7F0B"/>
    <w:rsid w:val="007B6EAB"/>
    <w:rsid w:val="007C13D0"/>
    <w:rsid w:val="007C4571"/>
    <w:rsid w:val="007C4E04"/>
    <w:rsid w:val="007D40CA"/>
    <w:rsid w:val="007D43EC"/>
    <w:rsid w:val="007D78C1"/>
    <w:rsid w:val="007E091D"/>
    <w:rsid w:val="007E1526"/>
    <w:rsid w:val="007E2424"/>
    <w:rsid w:val="007E5E9F"/>
    <w:rsid w:val="007E7A76"/>
    <w:rsid w:val="007E7B17"/>
    <w:rsid w:val="007F0BA7"/>
    <w:rsid w:val="007F0CD9"/>
    <w:rsid w:val="007F3520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26B92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5943"/>
    <w:rsid w:val="00867030"/>
    <w:rsid w:val="008701CA"/>
    <w:rsid w:val="00871289"/>
    <w:rsid w:val="008731B8"/>
    <w:rsid w:val="0087595D"/>
    <w:rsid w:val="00875AD2"/>
    <w:rsid w:val="00876127"/>
    <w:rsid w:val="008761AA"/>
    <w:rsid w:val="008775DF"/>
    <w:rsid w:val="00880D1C"/>
    <w:rsid w:val="00882106"/>
    <w:rsid w:val="00883CDF"/>
    <w:rsid w:val="0089597D"/>
    <w:rsid w:val="0089746D"/>
    <w:rsid w:val="008A1C22"/>
    <w:rsid w:val="008A2BDE"/>
    <w:rsid w:val="008A4CB9"/>
    <w:rsid w:val="008A577C"/>
    <w:rsid w:val="008A5C04"/>
    <w:rsid w:val="008B1BC7"/>
    <w:rsid w:val="008B34CA"/>
    <w:rsid w:val="008C04AB"/>
    <w:rsid w:val="008C2C73"/>
    <w:rsid w:val="008C54F6"/>
    <w:rsid w:val="008C6753"/>
    <w:rsid w:val="008C73B3"/>
    <w:rsid w:val="008C7CA3"/>
    <w:rsid w:val="008D31FF"/>
    <w:rsid w:val="008D3327"/>
    <w:rsid w:val="008D521F"/>
    <w:rsid w:val="008D638B"/>
    <w:rsid w:val="008D68EC"/>
    <w:rsid w:val="008E2359"/>
    <w:rsid w:val="008E4548"/>
    <w:rsid w:val="008E5F89"/>
    <w:rsid w:val="008F1DC1"/>
    <w:rsid w:val="008F24C3"/>
    <w:rsid w:val="008F2EFE"/>
    <w:rsid w:val="008F3A05"/>
    <w:rsid w:val="008F4E35"/>
    <w:rsid w:val="008F5A98"/>
    <w:rsid w:val="008F6909"/>
    <w:rsid w:val="008F7A60"/>
    <w:rsid w:val="00901FF1"/>
    <w:rsid w:val="0090352E"/>
    <w:rsid w:val="0090557B"/>
    <w:rsid w:val="00907B2B"/>
    <w:rsid w:val="0091439B"/>
    <w:rsid w:val="00914C85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AB8"/>
    <w:rsid w:val="009B1C30"/>
    <w:rsid w:val="009B32ED"/>
    <w:rsid w:val="009B376A"/>
    <w:rsid w:val="009C0029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3848"/>
    <w:rsid w:val="00A3526C"/>
    <w:rsid w:val="00A4067A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933B0"/>
    <w:rsid w:val="00AA1F98"/>
    <w:rsid w:val="00AA244A"/>
    <w:rsid w:val="00AB1EBD"/>
    <w:rsid w:val="00AB2B6C"/>
    <w:rsid w:val="00AC0EF3"/>
    <w:rsid w:val="00AC1726"/>
    <w:rsid w:val="00AC3FFF"/>
    <w:rsid w:val="00AC7D46"/>
    <w:rsid w:val="00AD35B1"/>
    <w:rsid w:val="00AD45CB"/>
    <w:rsid w:val="00AE006F"/>
    <w:rsid w:val="00AE160A"/>
    <w:rsid w:val="00AE1EF6"/>
    <w:rsid w:val="00AE35DC"/>
    <w:rsid w:val="00AE47DC"/>
    <w:rsid w:val="00AE6353"/>
    <w:rsid w:val="00AE6400"/>
    <w:rsid w:val="00AE6C51"/>
    <w:rsid w:val="00AE7416"/>
    <w:rsid w:val="00AF0A4D"/>
    <w:rsid w:val="00AF23D6"/>
    <w:rsid w:val="00B10BC5"/>
    <w:rsid w:val="00B11763"/>
    <w:rsid w:val="00B125E3"/>
    <w:rsid w:val="00B1363D"/>
    <w:rsid w:val="00B1394D"/>
    <w:rsid w:val="00B169D4"/>
    <w:rsid w:val="00B20C61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61C8"/>
    <w:rsid w:val="00B7146F"/>
    <w:rsid w:val="00B71B26"/>
    <w:rsid w:val="00B735FF"/>
    <w:rsid w:val="00B73EB3"/>
    <w:rsid w:val="00B807C2"/>
    <w:rsid w:val="00B82A24"/>
    <w:rsid w:val="00B836C0"/>
    <w:rsid w:val="00B83E66"/>
    <w:rsid w:val="00B858A0"/>
    <w:rsid w:val="00B957B8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B7E86"/>
    <w:rsid w:val="00BC3017"/>
    <w:rsid w:val="00BC38AA"/>
    <w:rsid w:val="00BC6245"/>
    <w:rsid w:val="00BC6AAE"/>
    <w:rsid w:val="00BC7613"/>
    <w:rsid w:val="00BD0EA5"/>
    <w:rsid w:val="00BD3D4D"/>
    <w:rsid w:val="00BD4EDF"/>
    <w:rsid w:val="00BE0701"/>
    <w:rsid w:val="00BE23A8"/>
    <w:rsid w:val="00BE335C"/>
    <w:rsid w:val="00BE5774"/>
    <w:rsid w:val="00BF055B"/>
    <w:rsid w:val="00BF120F"/>
    <w:rsid w:val="00BF266B"/>
    <w:rsid w:val="00BF7650"/>
    <w:rsid w:val="00C02D3F"/>
    <w:rsid w:val="00C06CF8"/>
    <w:rsid w:val="00C1089B"/>
    <w:rsid w:val="00C110B8"/>
    <w:rsid w:val="00C111A1"/>
    <w:rsid w:val="00C11949"/>
    <w:rsid w:val="00C12398"/>
    <w:rsid w:val="00C1271C"/>
    <w:rsid w:val="00C12F80"/>
    <w:rsid w:val="00C1607C"/>
    <w:rsid w:val="00C1675A"/>
    <w:rsid w:val="00C16903"/>
    <w:rsid w:val="00C219D2"/>
    <w:rsid w:val="00C21A54"/>
    <w:rsid w:val="00C242A5"/>
    <w:rsid w:val="00C250B9"/>
    <w:rsid w:val="00C251AD"/>
    <w:rsid w:val="00C30D4E"/>
    <w:rsid w:val="00C319A0"/>
    <w:rsid w:val="00C322C2"/>
    <w:rsid w:val="00C333F8"/>
    <w:rsid w:val="00C33F32"/>
    <w:rsid w:val="00C35438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0A2F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15EE"/>
    <w:rsid w:val="00CB2831"/>
    <w:rsid w:val="00CB47EC"/>
    <w:rsid w:val="00CB4FC2"/>
    <w:rsid w:val="00CB681C"/>
    <w:rsid w:val="00CC4301"/>
    <w:rsid w:val="00CC7890"/>
    <w:rsid w:val="00CD00C2"/>
    <w:rsid w:val="00CD1B1B"/>
    <w:rsid w:val="00CD3844"/>
    <w:rsid w:val="00CD7A4C"/>
    <w:rsid w:val="00CE4A37"/>
    <w:rsid w:val="00CE6D70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4D3C"/>
    <w:rsid w:val="00D559EE"/>
    <w:rsid w:val="00D603B9"/>
    <w:rsid w:val="00D6332B"/>
    <w:rsid w:val="00D6460E"/>
    <w:rsid w:val="00D64B7A"/>
    <w:rsid w:val="00D679A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23F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E7574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085B"/>
    <w:rsid w:val="00E212F5"/>
    <w:rsid w:val="00E21F2D"/>
    <w:rsid w:val="00E2293C"/>
    <w:rsid w:val="00E23835"/>
    <w:rsid w:val="00E2450B"/>
    <w:rsid w:val="00E31D4A"/>
    <w:rsid w:val="00E32086"/>
    <w:rsid w:val="00E3410C"/>
    <w:rsid w:val="00E433D5"/>
    <w:rsid w:val="00E45FA7"/>
    <w:rsid w:val="00E46882"/>
    <w:rsid w:val="00E56084"/>
    <w:rsid w:val="00E562EE"/>
    <w:rsid w:val="00E57933"/>
    <w:rsid w:val="00E603DA"/>
    <w:rsid w:val="00E620AD"/>
    <w:rsid w:val="00E64874"/>
    <w:rsid w:val="00E64FE6"/>
    <w:rsid w:val="00E663DE"/>
    <w:rsid w:val="00E71B5F"/>
    <w:rsid w:val="00E72B5A"/>
    <w:rsid w:val="00E74213"/>
    <w:rsid w:val="00E74694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86A57"/>
    <w:rsid w:val="00E90575"/>
    <w:rsid w:val="00E91A76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06E4"/>
    <w:rsid w:val="00EB1013"/>
    <w:rsid w:val="00EB262B"/>
    <w:rsid w:val="00EB2A55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0455F"/>
    <w:rsid w:val="00F1324A"/>
    <w:rsid w:val="00F14755"/>
    <w:rsid w:val="00F157E7"/>
    <w:rsid w:val="00F17A14"/>
    <w:rsid w:val="00F20303"/>
    <w:rsid w:val="00F21627"/>
    <w:rsid w:val="00F21B82"/>
    <w:rsid w:val="00F22C87"/>
    <w:rsid w:val="00F24CD3"/>
    <w:rsid w:val="00F31A56"/>
    <w:rsid w:val="00F373D1"/>
    <w:rsid w:val="00F4590B"/>
    <w:rsid w:val="00F45CCC"/>
    <w:rsid w:val="00F461CD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9155E"/>
    <w:rsid w:val="00F930BA"/>
    <w:rsid w:val="00F95323"/>
    <w:rsid w:val="00FA795A"/>
    <w:rsid w:val="00FB0503"/>
    <w:rsid w:val="00FB0678"/>
    <w:rsid w:val="00FB5261"/>
    <w:rsid w:val="00FB7BA8"/>
    <w:rsid w:val="00FC187C"/>
    <w:rsid w:val="00FC2811"/>
    <w:rsid w:val="00FC36F2"/>
    <w:rsid w:val="00FC3A85"/>
    <w:rsid w:val="00FC517F"/>
    <w:rsid w:val="00FC7AD5"/>
    <w:rsid w:val="00FD098B"/>
    <w:rsid w:val="00FD40A6"/>
    <w:rsid w:val="00FD6597"/>
    <w:rsid w:val="00FE0880"/>
    <w:rsid w:val="00FE207D"/>
    <w:rsid w:val="00FE3DA3"/>
    <w:rsid w:val="00FE3DB9"/>
    <w:rsid w:val="00FE4B4F"/>
    <w:rsid w:val="00FF087B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Бакытжан Е. Абдиразаков</cp:lastModifiedBy>
  <cp:revision>26</cp:revision>
  <cp:lastPrinted>2025-06-18T11:47:00Z</cp:lastPrinted>
  <dcterms:created xsi:type="dcterms:W3CDTF">2025-05-13T09:38:00Z</dcterms:created>
  <dcterms:modified xsi:type="dcterms:W3CDTF">2025-06-20T12:29:00Z</dcterms:modified>
</cp:coreProperties>
</file>